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96662" w14:textId="77777777" w:rsidR="0051692D" w:rsidRDefault="0051692D" w:rsidP="0051692D">
      <w:pPr>
        <w:pBdr>
          <w:top w:val="nil"/>
          <w:left w:val="nil"/>
          <w:bottom w:val="nil"/>
          <w:right w:val="nil"/>
          <w:between w:val="nil"/>
        </w:pBdr>
        <w:spacing w:after="0" w:line="240" w:lineRule="auto"/>
        <w:rPr>
          <w:rFonts w:ascii="Times New Roman" w:eastAsia="Times New Roman" w:hAnsi="Times New Roman" w:cs="Times New Roman"/>
          <w:color w:val="222222"/>
          <w:highlight w:val="white"/>
        </w:rPr>
      </w:pPr>
    </w:p>
    <w:p w14:paraId="2D599FFC" w14:textId="77777777" w:rsidR="0051692D" w:rsidRDefault="0051692D" w:rsidP="0051692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u w:val="single"/>
        </w:rPr>
      </w:pPr>
    </w:p>
    <w:p w14:paraId="625B4CFA" w14:textId="77777777" w:rsidR="0051692D" w:rsidRDefault="0051692D" w:rsidP="0051692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u w:val="single"/>
        </w:rPr>
      </w:pPr>
    </w:p>
    <w:p w14:paraId="01B63F69" w14:textId="06D6437D" w:rsidR="0051692D" w:rsidRPr="0051692D" w:rsidRDefault="0051692D" w:rsidP="0051692D">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u w:val="single"/>
        </w:rPr>
      </w:pPr>
      <w:r w:rsidRPr="0051692D">
        <w:rPr>
          <w:rFonts w:ascii="Times New Roman" w:eastAsia="Times New Roman" w:hAnsi="Times New Roman" w:cs="Times New Roman"/>
          <w:b/>
          <w:color w:val="000000"/>
          <w:sz w:val="28"/>
          <w:szCs w:val="28"/>
          <w:u w:val="single"/>
        </w:rPr>
        <w:drawing>
          <wp:inline distT="0" distB="0" distL="0" distR="0" wp14:anchorId="69EE9AD1" wp14:editId="7FFDFEA1">
            <wp:extent cx="2108200" cy="717163"/>
            <wp:effectExtent l="0" t="0" r="6350" b="6985"/>
            <wp:docPr id="43317234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5645" cy="726499"/>
                    </a:xfrm>
                    <a:prstGeom prst="rect">
                      <a:avLst/>
                    </a:prstGeom>
                    <a:noFill/>
                    <a:ln>
                      <a:noFill/>
                    </a:ln>
                  </pic:spPr>
                </pic:pic>
              </a:graphicData>
            </a:graphic>
          </wp:inline>
        </w:drawing>
      </w:r>
      <w:r>
        <w:rPr>
          <w:rFonts w:ascii="Times New Roman" w:eastAsia="Times New Roman" w:hAnsi="Times New Roman" w:cs="Times New Roman"/>
          <w:b/>
          <w:color w:val="000000"/>
          <w:sz w:val="28"/>
          <w:szCs w:val="28"/>
          <w:u w:val="single"/>
        </w:rPr>
        <w:t xml:space="preserve"> Základní škola a Mateřská škola Domoušice_______________</w:t>
      </w:r>
    </w:p>
    <w:p w14:paraId="63A50921" w14:textId="77777777" w:rsidR="0051692D" w:rsidRDefault="0051692D" w:rsidP="0051692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u w:val="single"/>
        </w:rPr>
      </w:pPr>
    </w:p>
    <w:p w14:paraId="4D5C2FEC" w14:textId="77777777" w:rsidR="0051692D" w:rsidRDefault="0051692D" w:rsidP="0051692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STRATEGIE PREVENCE A ŘEŠENÍ ŠKOLNÍ NEÚSPĚŠNOSTI ŽÁKŮ</w:t>
      </w:r>
    </w:p>
    <w:p w14:paraId="64A75104" w14:textId="77777777" w:rsidR="0051692D" w:rsidRDefault="0051692D" w:rsidP="0051692D">
      <w:pPr>
        <w:pBdr>
          <w:top w:val="nil"/>
          <w:left w:val="nil"/>
          <w:bottom w:val="nil"/>
          <w:right w:val="nil"/>
          <w:between w:val="nil"/>
        </w:pBdr>
        <w:spacing w:after="0" w:line="240" w:lineRule="auto"/>
        <w:jc w:val="center"/>
        <w:rPr>
          <w:rFonts w:ascii="Times New Roman" w:eastAsia="Times New Roman" w:hAnsi="Times New Roman" w:cs="Times New Roman"/>
          <w:b/>
          <w:color w:val="222222"/>
          <w:sz w:val="28"/>
          <w:szCs w:val="28"/>
          <w:highlight w:val="white"/>
          <w:u w:val="single"/>
        </w:rPr>
      </w:pPr>
    </w:p>
    <w:p w14:paraId="01DBEFF5" w14:textId="77777777" w:rsidR="0051692D" w:rsidRDefault="0051692D" w:rsidP="0051692D">
      <w:pPr>
        <w:pBdr>
          <w:top w:val="nil"/>
          <w:left w:val="nil"/>
          <w:bottom w:val="nil"/>
          <w:right w:val="nil"/>
          <w:between w:val="nil"/>
        </w:pBdr>
        <w:spacing w:after="0" w:line="240" w:lineRule="auto"/>
        <w:rPr>
          <w:rFonts w:ascii="Times New Roman" w:eastAsia="Times New Roman" w:hAnsi="Times New Roman" w:cs="Times New Roman"/>
          <w:color w:val="222222"/>
          <w:highlight w:val="white"/>
        </w:rPr>
      </w:pPr>
      <w:bookmarkStart w:id="0" w:name="_heading=h.th5wlcoals3x" w:colFirst="0" w:colLast="0"/>
      <w:bookmarkEnd w:id="0"/>
    </w:p>
    <w:p w14:paraId="6D9133E3" w14:textId="77777777" w:rsidR="0051692D" w:rsidRDefault="0051692D" w:rsidP="0051692D">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 xml:space="preserve">Příčiny školní neúspěšnosti </w:t>
      </w:r>
    </w:p>
    <w:p w14:paraId="768079E9" w14:textId="77777777" w:rsidR="0051692D" w:rsidRDefault="0051692D" w:rsidP="0051692D">
      <w:pPr>
        <w:pBdr>
          <w:top w:val="nil"/>
          <w:left w:val="nil"/>
          <w:bottom w:val="nil"/>
          <w:right w:val="nil"/>
          <w:between w:val="nil"/>
        </w:pBdr>
        <w:spacing w:after="0" w:line="240" w:lineRule="auto"/>
        <w:ind w:left="720"/>
        <w:rPr>
          <w:rFonts w:ascii="Times New Roman" w:eastAsia="Times New Roman" w:hAnsi="Times New Roman" w:cs="Times New Roman"/>
          <w:b/>
          <w:color w:val="222222"/>
          <w:sz w:val="24"/>
          <w:szCs w:val="24"/>
          <w:highlight w:val="white"/>
        </w:rPr>
      </w:pPr>
    </w:p>
    <w:p w14:paraId="39D1C686" w14:textId="77777777" w:rsidR="0051692D" w:rsidRDefault="0051692D" w:rsidP="0051692D">
      <w:pPr>
        <w:pBdr>
          <w:top w:val="nil"/>
          <w:left w:val="nil"/>
          <w:bottom w:val="nil"/>
          <w:right w:val="nil"/>
          <w:between w:val="nil"/>
        </w:pBdr>
        <w:spacing w:after="0" w:line="240" w:lineRule="auto"/>
        <w:ind w:firstLine="36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Školní neúspěšnost je vážným problémem, jehož řešení si vyžaduje náročnou práci s žákem a často také s rodiči žáka. Bývá důsledkem individuálních rozdílů v osobnosti žáků, v jejich výkonnosti, motivaci i jejich rodinné výchově. Neprospěch je často způsoben souborem příčin, které je třeba dobře rozpoznat. </w:t>
      </w:r>
    </w:p>
    <w:p w14:paraId="3FB9C54B" w14:textId="77777777" w:rsidR="0051692D" w:rsidRDefault="0051692D" w:rsidP="0051692D">
      <w:pPr>
        <w:pBdr>
          <w:top w:val="nil"/>
          <w:left w:val="nil"/>
          <w:bottom w:val="nil"/>
          <w:right w:val="nil"/>
          <w:between w:val="nil"/>
        </w:pBdr>
        <w:spacing w:after="0" w:line="240" w:lineRule="auto"/>
        <w:ind w:firstLine="36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Při nástupu žáka do školy prostudují třídní učitelé pedagogickou dokumentaci žáků. Na jejím základě pak vytipují žáky, kteří by mohli být potenciálně neúspěšní při zvládnutí studia. Třídní učitel seznámí žáky s prací PPP a zeptá se, zda již někdo </w:t>
      </w:r>
      <w:proofErr w:type="gramStart"/>
      <w:r>
        <w:rPr>
          <w:rFonts w:ascii="Times New Roman" w:eastAsia="Times New Roman" w:hAnsi="Times New Roman" w:cs="Times New Roman"/>
          <w:color w:val="222222"/>
          <w:sz w:val="24"/>
          <w:szCs w:val="24"/>
          <w:highlight w:val="white"/>
        </w:rPr>
        <w:t>s</w:t>
      </w:r>
      <w:proofErr w:type="gramEnd"/>
      <w:r>
        <w:rPr>
          <w:rFonts w:ascii="Times New Roman" w:eastAsia="Times New Roman" w:hAnsi="Times New Roman" w:cs="Times New Roman"/>
          <w:color w:val="222222"/>
          <w:sz w:val="24"/>
          <w:szCs w:val="24"/>
          <w:highlight w:val="white"/>
        </w:rPr>
        <w:t xml:space="preserve"> žáků tuto poradnu navštěvuje. Od těchto žáků pak vybere doporučení PPP, s kterým bude škola dále pracovat.</w:t>
      </w:r>
    </w:p>
    <w:p w14:paraId="54D29414" w14:textId="77777777" w:rsidR="0051692D" w:rsidRDefault="0051692D" w:rsidP="0051692D">
      <w:pPr>
        <w:pBdr>
          <w:top w:val="nil"/>
          <w:left w:val="nil"/>
          <w:bottom w:val="nil"/>
          <w:right w:val="nil"/>
          <w:between w:val="nil"/>
        </w:pBdr>
        <w:spacing w:after="0" w:line="240" w:lineRule="auto"/>
        <w:ind w:firstLine="360"/>
        <w:jc w:val="both"/>
        <w:rPr>
          <w:rFonts w:ascii="Times New Roman" w:eastAsia="Times New Roman" w:hAnsi="Times New Roman" w:cs="Times New Roman"/>
          <w:color w:val="222222"/>
          <w:highlight w:val="white"/>
        </w:rPr>
      </w:pPr>
    </w:p>
    <w:p w14:paraId="2D87A832" w14:textId="77777777" w:rsidR="0051692D" w:rsidRDefault="0051692D" w:rsidP="0051692D">
      <w:pPr>
        <w:pBdr>
          <w:top w:val="nil"/>
          <w:left w:val="nil"/>
          <w:bottom w:val="nil"/>
          <w:right w:val="nil"/>
          <w:between w:val="nil"/>
        </w:pBdr>
        <w:spacing w:after="0" w:line="240" w:lineRule="auto"/>
        <w:ind w:firstLine="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Nejčastěji má na školní úspěšnost nebo neúspěšnost vliv:</w:t>
      </w:r>
    </w:p>
    <w:p w14:paraId="484C5357" w14:textId="77777777" w:rsidR="0051692D" w:rsidRDefault="0051692D" w:rsidP="0051692D">
      <w:pPr>
        <w:pBdr>
          <w:top w:val="nil"/>
          <w:left w:val="nil"/>
          <w:bottom w:val="nil"/>
          <w:right w:val="nil"/>
          <w:between w:val="nil"/>
        </w:pBdr>
        <w:spacing w:after="0" w:line="240" w:lineRule="auto"/>
        <w:ind w:firstLine="360"/>
        <w:jc w:val="both"/>
        <w:rPr>
          <w:rFonts w:ascii="Times New Roman" w:eastAsia="Times New Roman" w:hAnsi="Times New Roman" w:cs="Times New Roman"/>
          <w:b/>
          <w:color w:val="000000"/>
          <w:sz w:val="24"/>
          <w:szCs w:val="24"/>
        </w:rPr>
      </w:pPr>
    </w:p>
    <w:p w14:paraId="33260DE4" w14:textId="28915ECE" w:rsidR="0051692D" w:rsidRDefault="0051692D" w:rsidP="0051692D">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osobnost </w:t>
      </w:r>
      <w:proofErr w:type="gramStart"/>
      <w:r>
        <w:rPr>
          <w:rFonts w:ascii="Times New Roman" w:eastAsia="Times New Roman" w:hAnsi="Times New Roman" w:cs="Times New Roman"/>
          <w:color w:val="000000"/>
          <w:sz w:val="24"/>
          <w:szCs w:val="24"/>
        </w:rPr>
        <w:t>dítěte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snížená</w:t>
      </w:r>
      <w:proofErr w:type="gramEnd"/>
      <w:r>
        <w:rPr>
          <w:rFonts w:ascii="Times New Roman" w:eastAsia="Times New Roman" w:hAnsi="Times New Roman" w:cs="Times New Roman"/>
          <w:color w:val="000000"/>
          <w:sz w:val="24"/>
          <w:szCs w:val="24"/>
        </w:rPr>
        <w:t xml:space="preserve"> inteligence, nedostatečná paměť, emoční labilita, nízká odolnost vůči zátěži, poruchy učení, poruchy chování a jiné zdravotní komplikace žáka </w:t>
      </w:r>
    </w:p>
    <w:p w14:paraId="55EFC323" w14:textId="77777777" w:rsidR="0051692D" w:rsidRDefault="0051692D" w:rsidP="0051692D">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nepodnětné rodinné prostředí, žáci ohrožení sociálně nežádoucími jevy, problémy ve vztazích v rodině nebo ve škole (mezi kamarády, ve třídě, vztah s učitelem)</w:t>
      </w:r>
    </w:p>
    <w:p w14:paraId="6A1DF15A" w14:textId="77777777" w:rsidR="0051692D" w:rsidRDefault="0051692D" w:rsidP="0051692D">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 špatná docházka do vyučování – neúčast žáků ve výuce, z toho plynoucí špatné porozumění probírané látce a následné nezvládnutí učiva.</w:t>
      </w:r>
    </w:p>
    <w:p w14:paraId="19C0E928" w14:textId="77777777" w:rsidR="0051692D" w:rsidRDefault="0051692D" w:rsidP="0051692D">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p>
    <w:p w14:paraId="18BD66BF" w14:textId="77777777" w:rsidR="0051692D" w:rsidRDefault="0051692D" w:rsidP="0051692D">
      <w:pPr>
        <w:numPr>
          <w:ilvl w:val="0"/>
          <w:numId w:val="2"/>
        </w:numPr>
        <w:pBdr>
          <w:top w:val="nil"/>
          <w:left w:val="nil"/>
          <w:bottom w:val="nil"/>
          <w:right w:val="nil"/>
          <w:between w:val="nil"/>
        </w:pBdr>
        <w:spacing w:after="0" w:line="240" w:lineRule="auto"/>
        <w:ind w:hanging="360"/>
        <w:jc w:val="both"/>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 xml:space="preserve">Řešení školní neúspěšnosti </w:t>
      </w:r>
    </w:p>
    <w:p w14:paraId="351B5E3E" w14:textId="77777777" w:rsidR="0051692D" w:rsidRDefault="0051692D" w:rsidP="0051692D">
      <w:pPr>
        <w:pBdr>
          <w:top w:val="nil"/>
          <w:left w:val="nil"/>
          <w:bottom w:val="nil"/>
          <w:right w:val="nil"/>
          <w:between w:val="nil"/>
        </w:pBdr>
        <w:spacing w:after="0" w:line="240" w:lineRule="auto"/>
        <w:ind w:firstLine="360"/>
        <w:jc w:val="both"/>
        <w:rPr>
          <w:rFonts w:ascii="Times New Roman" w:eastAsia="Times New Roman" w:hAnsi="Times New Roman" w:cs="Times New Roman"/>
          <w:color w:val="222222"/>
          <w:sz w:val="24"/>
          <w:szCs w:val="24"/>
          <w:highlight w:val="white"/>
        </w:rPr>
      </w:pPr>
    </w:p>
    <w:p w14:paraId="75FB347B" w14:textId="77777777" w:rsidR="0051692D" w:rsidRDefault="0051692D" w:rsidP="0051692D">
      <w:pPr>
        <w:pBdr>
          <w:top w:val="nil"/>
          <w:left w:val="nil"/>
          <w:bottom w:val="nil"/>
          <w:right w:val="nil"/>
          <w:between w:val="nil"/>
        </w:pBdr>
        <w:spacing w:after="0" w:line="240" w:lineRule="auto"/>
        <w:ind w:firstLine="36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V první řadě je nutné podrobit dítě kvalitní pedagogické, speciálně-pedagogické a případně psychologické diagnostice, aby byly odhaleny konkrétní příčiny selhávání žáka ve škole. Diagnostika žákových možností, učebních stylů a vzdělávacích potřeb nám pak umožní nastavit vhodná opatření. Je potřeba reagovat včas tak, aby žák byl schopen zastavit svůj pokles výkonu a případně se vrátit mezi "školsky úspěšné žáky".</w:t>
      </w:r>
    </w:p>
    <w:p w14:paraId="41194938" w14:textId="77777777" w:rsidR="0051692D" w:rsidRDefault="0051692D" w:rsidP="0051692D">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p>
    <w:p w14:paraId="021AD0F9" w14:textId="77777777" w:rsidR="0051692D" w:rsidRDefault="0051692D" w:rsidP="0051692D">
      <w:pPr>
        <w:pBdr>
          <w:top w:val="nil"/>
          <w:left w:val="nil"/>
          <w:bottom w:val="nil"/>
          <w:right w:val="nil"/>
          <w:between w:val="nil"/>
        </w:pBdr>
        <w:spacing w:after="0" w:line="240" w:lineRule="auto"/>
        <w:jc w:val="both"/>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Možná opatření volíme individuálně na základě diagnostiky a zjištěných potřeb žáků:</w:t>
      </w:r>
    </w:p>
    <w:p w14:paraId="59CF9BF3" w14:textId="77777777" w:rsidR="0051692D" w:rsidRDefault="0051692D" w:rsidP="0051692D">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1. </w:t>
      </w:r>
      <w:r>
        <w:rPr>
          <w:rFonts w:ascii="Times New Roman" w:eastAsia="Times New Roman" w:hAnsi="Times New Roman" w:cs="Times New Roman"/>
          <w:i/>
          <w:color w:val="222222"/>
          <w:sz w:val="24"/>
          <w:szCs w:val="24"/>
          <w:highlight w:val="white"/>
        </w:rPr>
        <w:t>Poruchy učení a chování, jiná zdravotní omezení a znevýhodnění</w:t>
      </w:r>
      <w:r>
        <w:rPr>
          <w:rFonts w:ascii="Times New Roman" w:eastAsia="Times New Roman" w:hAnsi="Times New Roman" w:cs="Times New Roman"/>
          <w:color w:val="222222"/>
          <w:sz w:val="24"/>
          <w:szCs w:val="24"/>
          <w:highlight w:val="white"/>
        </w:rPr>
        <w:t xml:space="preserve">: kompenzace nedostatků s pomocí speciálně pedagogických metod a postupů na základě doporučení z PPP nebo SPC, integrace žáka a vytvoření IVP nebo zařazení žáka do třídy zřízené dle § 19. </w:t>
      </w:r>
    </w:p>
    <w:p w14:paraId="0C9E9BAA" w14:textId="77777777" w:rsidR="0051692D" w:rsidRDefault="0051692D" w:rsidP="0051692D">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2. </w:t>
      </w:r>
      <w:r>
        <w:rPr>
          <w:rFonts w:ascii="Times New Roman" w:eastAsia="Times New Roman" w:hAnsi="Times New Roman" w:cs="Times New Roman"/>
          <w:i/>
          <w:color w:val="222222"/>
          <w:sz w:val="24"/>
          <w:szCs w:val="24"/>
          <w:highlight w:val="white"/>
        </w:rPr>
        <w:t>Odchylka v celkové úrovni inteligence</w:t>
      </w:r>
      <w:r>
        <w:rPr>
          <w:rFonts w:ascii="Times New Roman" w:eastAsia="Times New Roman" w:hAnsi="Times New Roman" w:cs="Times New Roman"/>
          <w:color w:val="222222"/>
          <w:sz w:val="24"/>
          <w:szCs w:val="24"/>
          <w:highlight w:val="white"/>
        </w:rPr>
        <w:t xml:space="preserve">: žákovi bude stanoveno základní učivo, které po něm bude požadováno podle jeho možností a schopností, vhodné metody práce, </w:t>
      </w:r>
      <w:proofErr w:type="gramStart"/>
      <w:r>
        <w:rPr>
          <w:rFonts w:ascii="Times New Roman" w:eastAsia="Times New Roman" w:hAnsi="Times New Roman" w:cs="Times New Roman"/>
          <w:color w:val="222222"/>
          <w:sz w:val="24"/>
          <w:szCs w:val="24"/>
          <w:highlight w:val="white"/>
        </w:rPr>
        <w:t>motivace - zažití</w:t>
      </w:r>
      <w:proofErr w:type="gramEnd"/>
      <w:r>
        <w:rPr>
          <w:rFonts w:ascii="Times New Roman" w:eastAsia="Times New Roman" w:hAnsi="Times New Roman" w:cs="Times New Roman"/>
          <w:color w:val="222222"/>
          <w:sz w:val="24"/>
          <w:szCs w:val="24"/>
          <w:highlight w:val="white"/>
        </w:rPr>
        <w:t xml:space="preserve"> úspěchu, možnost opravit si známku, individuální konzultace ve vyučování i mimo něj, spolupráce s </w:t>
      </w:r>
      <w:proofErr w:type="gramStart"/>
      <w:r>
        <w:rPr>
          <w:rFonts w:ascii="Times New Roman" w:eastAsia="Times New Roman" w:hAnsi="Times New Roman" w:cs="Times New Roman"/>
          <w:color w:val="222222"/>
          <w:sz w:val="24"/>
          <w:szCs w:val="24"/>
          <w:highlight w:val="white"/>
        </w:rPr>
        <w:t>PPP - integrace</w:t>
      </w:r>
      <w:proofErr w:type="gramEnd"/>
      <w:r>
        <w:rPr>
          <w:rFonts w:ascii="Times New Roman" w:eastAsia="Times New Roman" w:hAnsi="Times New Roman" w:cs="Times New Roman"/>
          <w:color w:val="222222"/>
          <w:sz w:val="24"/>
          <w:szCs w:val="24"/>
          <w:highlight w:val="white"/>
        </w:rPr>
        <w:t xml:space="preserve"> na základě IVP a realizování dalších podpůrných opatření doporučených poradnou.</w:t>
      </w:r>
    </w:p>
    <w:p w14:paraId="3BC67FD5" w14:textId="77777777" w:rsidR="0051692D" w:rsidRDefault="0051692D" w:rsidP="0051692D">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3. </w:t>
      </w:r>
      <w:r>
        <w:rPr>
          <w:rFonts w:ascii="Times New Roman" w:eastAsia="Times New Roman" w:hAnsi="Times New Roman" w:cs="Times New Roman"/>
          <w:i/>
          <w:color w:val="222222"/>
          <w:sz w:val="24"/>
          <w:szCs w:val="24"/>
          <w:highlight w:val="white"/>
        </w:rPr>
        <w:t>Žáci sociálně znevýhodnění</w:t>
      </w:r>
      <w:r>
        <w:rPr>
          <w:rFonts w:ascii="Times New Roman" w:eastAsia="Times New Roman" w:hAnsi="Times New Roman" w:cs="Times New Roman"/>
          <w:color w:val="222222"/>
          <w:sz w:val="24"/>
          <w:szCs w:val="24"/>
          <w:highlight w:val="white"/>
        </w:rPr>
        <w:t xml:space="preserve">: motivace žáka k učení, spolupráce s rodinou, vytvoření podmínek pro domácí přípravu i ve škole ve volných hodinách, přístup k internetu ve škole. </w:t>
      </w:r>
    </w:p>
    <w:p w14:paraId="4922D543" w14:textId="77777777" w:rsidR="0051692D" w:rsidRDefault="0051692D" w:rsidP="0051692D">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4. </w:t>
      </w:r>
      <w:r>
        <w:rPr>
          <w:rFonts w:ascii="Times New Roman" w:eastAsia="Times New Roman" w:hAnsi="Times New Roman" w:cs="Times New Roman"/>
          <w:i/>
          <w:color w:val="222222"/>
          <w:sz w:val="24"/>
          <w:szCs w:val="24"/>
          <w:highlight w:val="white"/>
        </w:rPr>
        <w:t>Žáci s vysokou absencí jsou velmi často ohroženi sklouznutím do školní neúspěšnosti</w:t>
      </w:r>
      <w:r>
        <w:rPr>
          <w:rFonts w:ascii="Times New Roman" w:eastAsia="Times New Roman" w:hAnsi="Times New Roman" w:cs="Times New Roman"/>
          <w:color w:val="222222"/>
          <w:sz w:val="24"/>
          <w:szCs w:val="24"/>
          <w:highlight w:val="white"/>
        </w:rPr>
        <w:t xml:space="preserve">: včas žákům nabídnout podporu při zvládnutí zameškané </w:t>
      </w:r>
      <w:proofErr w:type="gramStart"/>
      <w:r>
        <w:rPr>
          <w:rFonts w:ascii="Times New Roman" w:eastAsia="Times New Roman" w:hAnsi="Times New Roman" w:cs="Times New Roman"/>
          <w:color w:val="222222"/>
          <w:sz w:val="24"/>
          <w:szCs w:val="24"/>
          <w:highlight w:val="white"/>
        </w:rPr>
        <w:t>látky - plán</w:t>
      </w:r>
      <w:proofErr w:type="gramEnd"/>
      <w:r>
        <w:rPr>
          <w:rFonts w:ascii="Times New Roman" w:eastAsia="Times New Roman" w:hAnsi="Times New Roman" w:cs="Times New Roman"/>
          <w:color w:val="222222"/>
          <w:sz w:val="24"/>
          <w:szCs w:val="24"/>
          <w:highlight w:val="white"/>
        </w:rPr>
        <w:t xml:space="preserve"> dostudování učiva a termíny dozkoušení, konzultace s žákem a rodiči, kde se domluví zvýšený dohled nad žákem.</w:t>
      </w:r>
    </w:p>
    <w:p w14:paraId="585C3EBC" w14:textId="77777777" w:rsidR="0051692D" w:rsidRDefault="0051692D" w:rsidP="0051692D">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p>
    <w:p w14:paraId="65DF9281" w14:textId="77777777" w:rsidR="0051692D" w:rsidRDefault="0051692D" w:rsidP="0051692D">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4. Postup při řešení školní neúspěšnosti – podpůrný program (plán pedagogické podpory nebo také plán podpůrných opatření)</w:t>
      </w:r>
    </w:p>
    <w:p w14:paraId="4D044165" w14:textId="77777777" w:rsidR="0051692D" w:rsidRDefault="0051692D" w:rsidP="0051692D">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222222"/>
          <w:sz w:val="24"/>
          <w:szCs w:val="24"/>
          <w:highlight w:val="white"/>
        </w:rPr>
      </w:pPr>
    </w:p>
    <w:p w14:paraId="374D9410" w14:textId="77777777" w:rsidR="0051692D" w:rsidRDefault="0051692D" w:rsidP="0051692D">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Hlavním opatřením je jednoznačně zvýšená spolupráce s rodiči! </w:t>
      </w:r>
    </w:p>
    <w:p w14:paraId="3635F185" w14:textId="77777777" w:rsidR="0051692D" w:rsidRDefault="0051692D" w:rsidP="0051692D">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1. Po prvním čtvrtletí třídní učitelé písemně informují rodiče žáků, kteří za toto čtvrtletí neprospívají (jsou hodnoceni známkou nedostatečný nebo dostatečný, ale vyučující vyhodnotí vývoj jako rizikový). </w:t>
      </w:r>
    </w:p>
    <w:p w14:paraId="4E7F4EA3" w14:textId="77777777" w:rsidR="0051692D" w:rsidRDefault="0051692D" w:rsidP="0051692D">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2. Podle zájmu je možné využít individuální konzultaci žáka s výchovným poradcem (případně rodičů, žáka a VP) - diagnostika školní neúspěšnosti a poradenství (např. nastavení podpory při učení, zjištění učebních stylu).</w:t>
      </w:r>
    </w:p>
    <w:p w14:paraId="04F89C75" w14:textId="77777777" w:rsidR="0051692D" w:rsidRDefault="0051692D" w:rsidP="0051692D">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3. Pokud se situace nezlepšuje, bude nabídnut žákovi podpůrný plán. </w:t>
      </w:r>
    </w:p>
    <w:p w14:paraId="5096F4CB" w14:textId="77777777" w:rsidR="0051692D" w:rsidRDefault="0051692D" w:rsidP="0051692D">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4. Pokud žák zamešká více než 100 hodin výuky, vyvolává se jednání s rodiči preventivně. Přítomni TU, žák a rodič, případně učitel předmětu, kde se už objevily problémy. Domluví se podpora žákovi tak, aby byl schopen kompenzovat svou absenci (plán práce, termíny zkoušení, obsah učiva, možnost individuální konzultace, doučování se spolužáky atd.). </w:t>
      </w:r>
    </w:p>
    <w:p w14:paraId="4A39E3BE" w14:textId="77777777" w:rsidR="0051692D" w:rsidRDefault="0051692D" w:rsidP="0051692D">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5. Na závěr školního roku by měla být podpora vyhodnocena třídním učitelem.</w:t>
      </w:r>
    </w:p>
    <w:p w14:paraId="29E2BB41" w14:textId="77777777" w:rsidR="0051692D" w:rsidRDefault="0051692D" w:rsidP="0051692D">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p>
    <w:p w14:paraId="7A366E2C" w14:textId="77777777" w:rsidR="0051692D" w:rsidRDefault="0051692D" w:rsidP="0051692D">
      <w:pPr>
        <w:numPr>
          <w:ilvl w:val="0"/>
          <w:numId w:val="3"/>
        </w:numPr>
        <w:pBdr>
          <w:top w:val="nil"/>
          <w:left w:val="nil"/>
          <w:bottom w:val="nil"/>
          <w:right w:val="nil"/>
          <w:between w:val="nil"/>
        </w:pBdr>
        <w:spacing w:after="0" w:line="240" w:lineRule="auto"/>
        <w:ind w:hanging="360"/>
        <w:jc w:val="both"/>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Plán pedagogické podpory (plán podpůrných opatření)</w:t>
      </w:r>
    </w:p>
    <w:p w14:paraId="152D8BB8" w14:textId="77777777" w:rsidR="0051692D" w:rsidRDefault="0051692D" w:rsidP="0051692D">
      <w:pPr>
        <w:pBdr>
          <w:top w:val="nil"/>
          <w:left w:val="nil"/>
          <w:bottom w:val="nil"/>
          <w:right w:val="nil"/>
          <w:between w:val="nil"/>
        </w:pBdr>
        <w:spacing w:after="0" w:line="240" w:lineRule="auto"/>
        <w:ind w:left="644"/>
        <w:jc w:val="both"/>
        <w:rPr>
          <w:rFonts w:ascii="Times New Roman" w:eastAsia="Times New Roman" w:hAnsi="Times New Roman" w:cs="Times New Roman"/>
          <w:b/>
          <w:color w:val="222222"/>
          <w:sz w:val="24"/>
          <w:szCs w:val="24"/>
          <w:highlight w:val="white"/>
        </w:rPr>
      </w:pPr>
    </w:p>
    <w:p w14:paraId="0F55BD88" w14:textId="77777777" w:rsidR="0051692D" w:rsidRDefault="0051692D" w:rsidP="0051692D">
      <w:pPr>
        <w:pBdr>
          <w:top w:val="nil"/>
          <w:left w:val="nil"/>
          <w:bottom w:val="nil"/>
          <w:right w:val="nil"/>
          <w:between w:val="nil"/>
        </w:pBdr>
        <w:spacing w:after="0" w:line="240" w:lineRule="auto"/>
        <w:ind w:firstLine="28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Podpůrný plán pro </w:t>
      </w:r>
      <w:r>
        <w:rPr>
          <w:rFonts w:ascii="Times New Roman" w:eastAsia="Times New Roman" w:hAnsi="Times New Roman" w:cs="Times New Roman"/>
          <w:b/>
          <w:color w:val="222222"/>
          <w:sz w:val="24"/>
          <w:szCs w:val="24"/>
          <w:highlight w:val="white"/>
        </w:rPr>
        <w:t>neprospívající žáky</w:t>
      </w:r>
      <w:r>
        <w:rPr>
          <w:rFonts w:ascii="Times New Roman" w:eastAsia="Times New Roman" w:hAnsi="Times New Roman" w:cs="Times New Roman"/>
          <w:color w:val="222222"/>
          <w:sz w:val="24"/>
          <w:szCs w:val="24"/>
          <w:highlight w:val="white"/>
        </w:rPr>
        <w:t xml:space="preserve"> je souhrn opatření </w:t>
      </w:r>
      <w:proofErr w:type="gramStart"/>
      <w:r>
        <w:rPr>
          <w:rFonts w:ascii="Times New Roman" w:eastAsia="Times New Roman" w:hAnsi="Times New Roman" w:cs="Times New Roman"/>
          <w:color w:val="222222"/>
          <w:sz w:val="24"/>
          <w:szCs w:val="24"/>
          <w:highlight w:val="white"/>
        </w:rPr>
        <w:t>nabízených žákům</w:t>
      </w:r>
      <w:proofErr w:type="gramEnd"/>
      <w:r>
        <w:rPr>
          <w:rFonts w:ascii="Times New Roman" w:eastAsia="Times New Roman" w:hAnsi="Times New Roman" w:cs="Times New Roman"/>
          <w:color w:val="222222"/>
          <w:sz w:val="24"/>
          <w:szCs w:val="24"/>
          <w:highlight w:val="white"/>
        </w:rPr>
        <w:t xml:space="preserve"> a jejich rodičům, který se podpisem všech stran stává pro všechny závazným.</w:t>
      </w:r>
    </w:p>
    <w:p w14:paraId="6754B9E9" w14:textId="77777777" w:rsidR="0051692D" w:rsidRDefault="0051692D" w:rsidP="0051692D">
      <w:pPr>
        <w:pBdr>
          <w:top w:val="nil"/>
          <w:left w:val="nil"/>
          <w:bottom w:val="nil"/>
          <w:right w:val="nil"/>
          <w:between w:val="nil"/>
        </w:pBdr>
        <w:spacing w:after="0" w:line="240" w:lineRule="auto"/>
        <w:ind w:firstLine="284"/>
        <w:jc w:val="both"/>
        <w:rPr>
          <w:rFonts w:ascii="Times New Roman" w:eastAsia="Times New Roman" w:hAnsi="Times New Roman" w:cs="Times New Roman"/>
          <w:color w:val="222222"/>
          <w:sz w:val="24"/>
          <w:szCs w:val="24"/>
          <w:highlight w:val="white"/>
        </w:rPr>
      </w:pPr>
    </w:p>
    <w:p w14:paraId="386CFFA1" w14:textId="77777777" w:rsidR="0051692D" w:rsidRDefault="0051692D" w:rsidP="0051692D">
      <w:pPr>
        <w:numPr>
          <w:ilvl w:val="0"/>
          <w:numId w:val="3"/>
        </w:numPr>
        <w:pBdr>
          <w:top w:val="nil"/>
          <w:left w:val="nil"/>
          <w:bottom w:val="nil"/>
          <w:right w:val="nil"/>
          <w:between w:val="nil"/>
        </w:pBdr>
        <w:spacing w:after="0" w:line="240" w:lineRule="auto"/>
        <w:ind w:hanging="360"/>
        <w:jc w:val="both"/>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 xml:space="preserve">Realizace plánu pedagogické podpory </w:t>
      </w:r>
    </w:p>
    <w:p w14:paraId="4897911D" w14:textId="77777777" w:rsidR="0051692D" w:rsidRDefault="0051692D" w:rsidP="0051692D">
      <w:pPr>
        <w:pBdr>
          <w:top w:val="nil"/>
          <w:left w:val="nil"/>
          <w:bottom w:val="nil"/>
          <w:right w:val="nil"/>
          <w:between w:val="nil"/>
        </w:pBdr>
        <w:spacing w:after="0" w:line="240" w:lineRule="auto"/>
        <w:ind w:firstLine="284"/>
        <w:jc w:val="both"/>
        <w:rPr>
          <w:rFonts w:ascii="Times New Roman" w:eastAsia="Times New Roman" w:hAnsi="Times New Roman" w:cs="Times New Roman"/>
          <w:b/>
          <w:color w:val="222222"/>
          <w:sz w:val="24"/>
          <w:szCs w:val="24"/>
          <w:highlight w:val="white"/>
        </w:rPr>
      </w:pPr>
    </w:p>
    <w:p w14:paraId="79A6E644" w14:textId="77777777" w:rsidR="0051692D" w:rsidRDefault="0051692D" w:rsidP="0051692D">
      <w:pPr>
        <w:pBdr>
          <w:top w:val="nil"/>
          <w:left w:val="nil"/>
          <w:bottom w:val="nil"/>
          <w:right w:val="nil"/>
          <w:between w:val="nil"/>
        </w:pBdr>
        <w:spacing w:after="0" w:line="240" w:lineRule="auto"/>
        <w:ind w:firstLine="28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Pokud selže individuální podpora žákovi a ten je v prvním pololetí hodnocen nedostatečnou nebo je hodnocen dostatečnou a jeho vyučující vyhodnotí další vývoj jeho výkonů jako rizikový, nabízí se žáku a jeho zákonným zástupcům podpůrný plán. </w:t>
      </w:r>
    </w:p>
    <w:p w14:paraId="12DCABA7" w14:textId="77777777" w:rsidR="0051692D" w:rsidRDefault="0051692D" w:rsidP="0051692D">
      <w:pPr>
        <w:pBdr>
          <w:top w:val="nil"/>
          <w:left w:val="nil"/>
          <w:bottom w:val="nil"/>
          <w:right w:val="nil"/>
          <w:between w:val="nil"/>
        </w:pBdr>
        <w:spacing w:after="0" w:line="240" w:lineRule="auto"/>
        <w:ind w:firstLine="28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Po uzavření pololetního hodnocení výsledků vzdělávání navrhnou třídní učitelé ve spolupráci s vyučujícími jednotlivých předmětů vedení školy (výchovnému poradci) žáky pro podpůrný plán. Třídní učitel zajišťuje sezvání všech zainteresovaných ke společné úvodní schůzce, kde jsou rodiče a žáci s plánem seznámeni a dojde k jeho podpisu. Po uzavření klasifikace na závěr školního roku je vyhodnocena jeho efektivita.</w:t>
      </w:r>
    </w:p>
    <w:p w14:paraId="36B1DD57" w14:textId="77777777" w:rsidR="0051692D" w:rsidRDefault="0051692D" w:rsidP="0051692D">
      <w:pPr>
        <w:pBdr>
          <w:top w:val="nil"/>
          <w:left w:val="nil"/>
          <w:bottom w:val="nil"/>
          <w:right w:val="nil"/>
          <w:between w:val="nil"/>
        </w:pBdr>
        <w:spacing w:after="0" w:line="240" w:lineRule="auto"/>
        <w:ind w:firstLine="284"/>
        <w:jc w:val="both"/>
        <w:rPr>
          <w:rFonts w:ascii="Times New Roman" w:eastAsia="Times New Roman" w:hAnsi="Times New Roman" w:cs="Times New Roman"/>
          <w:color w:val="222222"/>
          <w:sz w:val="24"/>
          <w:szCs w:val="24"/>
          <w:highlight w:val="white"/>
        </w:rPr>
      </w:pPr>
    </w:p>
    <w:p w14:paraId="60852ADF" w14:textId="77777777" w:rsidR="0051692D" w:rsidRDefault="0051692D" w:rsidP="0051692D">
      <w:pPr>
        <w:numPr>
          <w:ilvl w:val="0"/>
          <w:numId w:val="3"/>
        </w:numPr>
        <w:pBdr>
          <w:top w:val="nil"/>
          <w:left w:val="nil"/>
          <w:bottom w:val="nil"/>
          <w:right w:val="nil"/>
          <w:between w:val="nil"/>
        </w:pBdr>
        <w:spacing w:after="0" w:line="240" w:lineRule="auto"/>
        <w:ind w:hanging="360"/>
        <w:jc w:val="both"/>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 xml:space="preserve">Formy a metody práce </w:t>
      </w:r>
    </w:p>
    <w:p w14:paraId="6FCA85CD" w14:textId="77777777" w:rsidR="0051692D" w:rsidRDefault="0051692D" w:rsidP="0051692D">
      <w:pPr>
        <w:pBdr>
          <w:top w:val="nil"/>
          <w:left w:val="nil"/>
          <w:bottom w:val="nil"/>
          <w:right w:val="nil"/>
          <w:between w:val="nil"/>
        </w:pBdr>
        <w:spacing w:after="0" w:line="240" w:lineRule="auto"/>
        <w:ind w:firstLine="284"/>
        <w:jc w:val="both"/>
        <w:rPr>
          <w:rFonts w:ascii="Times New Roman" w:eastAsia="Times New Roman" w:hAnsi="Times New Roman" w:cs="Times New Roman"/>
          <w:color w:val="222222"/>
          <w:sz w:val="24"/>
          <w:szCs w:val="24"/>
          <w:highlight w:val="white"/>
        </w:rPr>
      </w:pPr>
    </w:p>
    <w:p w14:paraId="477BECAD" w14:textId="77777777" w:rsidR="0051692D" w:rsidRDefault="0051692D" w:rsidP="0051692D">
      <w:pPr>
        <w:pBdr>
          <w:top w:val="nil"/>
          <w:left w:val="nil"/>
          <w:bottom w:val="nil"/>
          <w:right w:val="nil"/>
          <w:between w:val="nil"/>
        </w:pBdr>
        <w:spacing w:after="0" w:line="240" w:lineRule="auto"/>
        <w:ind w:firstLine="28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Pro úspěšnost Podpůrného programu jsou podstatné především formy a metody práce využívané učitelem, ke kterým patří zejména:</w:t>
      </w:r>
    </w:p>
    <w:p w14:paraId="78339591" w14:textId="77777777" w:rsidR="0051692D" w:rsidRDefault="0051692D" w:rsidP="0051692D">
      <w:pPr>
        <w:pBdr>
          <w:top w:val="nil"/>
          <w:left w:val="nil"/>
          <w:bottom w:val="nil"/>
          <w:right w:val="nil"/>
          <w:between w:val="nil"/>
        </w:pBdr>
        <w:spacing w:after="0" w:line="240" w:lineRule="auto"/>
        <w:ind w:firstLine="28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 podpůrný studijní plán, tj. stanovení přiměřeného obsahu učiva – učitel stanovuje obsah učiva určený k osvojení v rozsahu, který odpovídá žákovým vzdělávacím možnostem (intelektovým i sociálním) </w:t>
      </w:r>
    </w:p>
    <w:p w14:paraId="6DFDCB04" w14:textId="77777777" w:rsidR="0051692D" w:rsidRDefault="0051692D" w:rsidP="0051692D">
      <w:pPr>
        <w:pBdr>
          <w:top w:val="nil"/>
          <w:left w:val="nil"/>
          <w:bottom w:val="nil"/>
          <w:right w:val="nil"/>
          <w:between w:val="nil"/>
        </w:pBdr>
        <w:spacing w:after="0" w:line="240" w:lineRule="auto"/>
        <w:ind w:firstLine="28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zadávání pravidelných úkolů vycházejících ze stanoveného obsahu učiva, tj. podpůrného plánu – zadání práce pro domácí </w:t>
      </w:r>
      <w:proofErr w:type="gramStart"/>
      <w:r>
        <w:rPr>
          <w:rFonts w:ascii="Times New Roman" w:eastAsia="Times New Roman" w:hAnsi="Times New Roman" w:cs="Times New Roman"/>
          <w:color w:val="222222"/>
          <w:sz w:val="24"/>
          <w:szCs w:val="24"/>
          <w:highlight w:val="white"/>
        </w:rPr>
        <w:t>přípravu - dílčí</w:t>
      </w:r>
      <w:proofErr w:type="gramEnd"/>
      <w:r>
        <w:rPr>
          <w:rFonts w:ascii="Times New Roman" w:eastAsia="Times New Roman" w:hAnsi="Times New Roman" w:cs="Times New Roman"/>
          <w:color w:val="222222"/>
          <w:sz w:val="24"/>
          <w:szCs w:val="24"/>
          <w:highlight w:val="white"/>
        </w:rPr>
        <w:t xml:space="preserve"> úkoly odpovídající žákovým vzdělávacím možnostem </w:t>
      </w:r>
    </w:p>
    <w:p w14:paraId="3C6255A9" w14:textId="77777777" w:rsidR="0051692D" w:rsidRDefault="0051692D" w:rsidP="0051692D">
      <w:pPr>
        <w:pBdr>
          <w:top w:val="nil"/>
          <w:left w:val="nil"/>
          <w:bottom w:val="nil"/>
          <w:right w:val="nil"/>
          <w:between w:val="nil"/>
        </w:pBdr>
        <w:spacing w:after="0" w:line="240" w:lineRule="auto"/>
        <w:ind w:firstLine="28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možnost plnit zadané úkoly v rámci volných hodin ve škole, možnost doučování </w:t>
      </w:r>
    </w:p>
    <w:p w14:paraId="237CFBF4" w14:textId="77777777" w:rsidR="0051692D" w:rsidRDefault="0051692D" w:rsidP="0051692D">
      <w:pPr>
        <w:pBdr>
          <w:top w:val="nil"/>
          <w:left w:val="nil"/>
          <w:bottom w:val="nil"/>
          <w:right w:val="nil"/>
          <w:between w:val="nil"/>
        </w:pBdr>
        <w:spacing w:after="0" w:line="240" w:lineRule="auto"/>
        <w:ind w:firstLine="28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užívání podpůrných aktivit – oznámení písemné práce, stanovení termínu zkoušení z konkrétního učiva, umožnění opakovaného opravného pokusu </w:t>
      </w:r>
    </w:p>
    <w:p w14:paraId="0CDA8507" w14:textId="77777777" w:rsidR="0051692D" w:rsidRDefault="0051692D" w:rsidP="0051692D">
      <w:pPr>
        <w:pBdr>
          <w:top w:val="nil"/>
          <w:left w:val="nil"/>
          <w:bottom w:val="nil"/>
          <w:right w:val="nil"/>
          <w:between w:val="nil"/>
        </w:pBdr>
        <w:spacing w:after="0" w:line="240" w:lineRule="auto"/>
        <w:ind w:firstLine="28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používání podpůrných pomůcek při samostatné práci – přehledy, tabulky, kalkulačky, nákresy, aj. dle charakteru předmětu, které pomohou žákovi lépe se orientovat v učivu</w:t>
      </w:r>
    </w:p>
    <w:p w14:paraId="362E18AA" w14:textId="77777777" w:rsidR="0051692D" w:rsidRDefault="0051692D" w:rsidP="0051692D">
      <w:pPr>
        <w:pBdr>
          <w:top w:val="nil"/>
          <w:left w:val="nil"/>
          <w:bottom w:val="nil"/>
          <w:right w:val="nil"/>
          <w:between w:val="nil"/>
        </w:pBdr>
        <w:spacing w:after="0" w:line="240" w:lineRule="auto"/>
        <w:ind w:firstLine="28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individuální práce se žákem v rámci individuálních konzultací i v rámci vyučovací hodiny – pomoc žákovi odstranit výrazné mezery v učivu, podpora při výuce při výkladu nového učiva </w:t>
      </w:r>
    </w:p>
    <w:p w14:paraId="2174F14D" w14:textId="77777777" w:rsidR="0051692D" w:rsidRDefault="0051692D" w:rsidP="0051692D">
      <w:pPr>
        <w:pBdr>
          <w:top w:val="nil"/>
          <w:left w:val="nil"/>
          <w:bottom w:val="nil"/>
          <w:right w:val="nil"/>
          <w:between w:val="nil"/>
        </w:pBdr>
        <w:spacing w:after="0" w:line="240" w:lineRule="auto"/>
        <w:ind w:firstLine="28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vedení písemných záznamů o průběhu podpůrného programu – zadání úkolu, termín splnění, poskytování pravidelných informací o průběhu podpůrného programu rodičům a výchovnému poradci – informace o přístupu žáka k plnění povinností v časovém sledu </w:t>
      </w:r>
    </w:p>
    <w:p w14:paraId="1E59CBA6" w14:textId="77777777" w:rsidR="0051692D" w:rsidRDefault="0051692D" w:rsidP="0051692D">
      <w:pPr>
        <w:pBdr>
          <w:top w:val="nil"/>
          <w:left w:val="nil"/>
          <w:bottom w:val="nil"/>
          <w:right w:val="nil"/>
          <w:between w:val="nil"/>
        </w:pBdr>
        <w:spacing w:after="0" w:line="240" w:lineRule="auto"/>
        <w:ind w:firstLine="28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domluva konzultační hodin, kdy si učitel zve žáka na konkrétní termín v případě, že žák potřebuje opakovaně vysvětlit probírané učivo, učitel telefonicky zve rodiče současně se žákem, aby je informoval o pravidlech práce, aby se s rodiči dohodl, jak mohou své dítě podpořit</w:t>
      </w:r>
    </w:p>
    <w:p w14:paraId="75E66D61" w14:textId="77777777" w:rsidR="0051692D" w:rsidRDefault="0051692D" w:rsidP="0051692D">
      <w:pPr>
        <w:pBdr>
          <w:top w:val="nil"/>
          <w:left w:val="nil"/>
          <w:bottom w:val="nil"/>
          <w:right w:val="nil"/>
          <w:between w:val="nil"/>
        </w:pBdr>
        <w:spacing w:after="0" w:line="240" w:lineRule="auto"/>
        <w:ind w:firstLine="28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doučování ve spolupráci se staršími žáky</w:t>
      </w:r>
    </w:p>
    <w:p w14:paraId="23FF066B" w14:textId="77777777" w:rsidR="0051692D" w:rsidRDefault="0051692D" w:rsidP="0051692D">
      <w:pPr>
        <w:pBdr>
          <w:top w:val="nil"/>
          <w:left w:val="nil"/>
          <w:bottom w:val="nil"/>
          <w:right w:val="nil"/>
          <w:between w:val="nil"/>
        </w:pBdr>
        <w:spacing w:after="0" w:line="240" w:lineRule="auto"/>
        <w:ind w:firstLine="284"/>
        <w:jc w:val="both"/>
        <w:rPr>
          <w:rFonts w:ascii="Times New Roman" w:eastAsia="Times New Roman" w:hAnsi="Times New Roman" w:cs="Times New Roman"/>
          <w:color w:val="222222"/>
          <w:sz w:val="24"/>
          <w:szCs w:val="24"/>
          <w:highlight w:val="white"/>
        </w:rPr>
      </w:pPr>
    </w:p>
    <w:p w14:paraId="28FD6DDD" w14:textId="695862C3" w:rsidR="0051692D" w:rsidRDefault="0051692D" w:rsidP="0051692D">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Pokud se podaří podpořit žáky tak, aby nebyli školsky neúspěšní a nepropadali, zamezí se i předčasným odchodům žáků ze středního vzdělávání. Opakování ročníku je však nadále nutné při selhání všech výše zmíněných podpůrných opatření.</w:t>
      </w:r>
    </w:p>
    <w:p w14:paraId="1D6C9027" w14:textId="77777777" w:rsidR="0051692D" w:rsidRDefault="0051692D" w:rsidP="0051692D">
      <w:pPr>
        <w:pBdr>
          <w:top w:val="nil"/>
          <w:left w:val="nil"/>
          <w:bottom w:val="nil"/>
          <w:right w:val="nil"/>
          <w:between w:val="nil"/>
        </w:pBdr>
        <w:spacing w:after="0" w:line="240" w:lineRule="auto"/>
        <w:ind w:firstLine="284"/>
        <w:jc w:val="both"/>
        <w:rPr>
          <w:rFonts w:ascii="Times New Roman" w:eastAsia="Times New Roman" w:hAnsi="Times New Roman" w:cs="Times New Roman"/>
          <w:color w:val="222222"/>
          <w:sz w:val="24"/>
          <w:szCs w:val="24"/>
          <w:highlight w:val="white"/>
        </w:rPr>
      </w:pPr>
    </w:p>
    <w:p w14:paraId="68E2EBFA" w14:textId="77777777" w:rsidR="0051692D" w:rsidRDefault="0051692D" w:rsidP="0051692D">
      <w:pPr>
        <w:pBdr>
          <w:top w:val="nil"/>
          <w:left w:val="nil"/>
          <w:bottom w:val="nil"/>
          <w:right w:val="nil"/>
          <w:between w:val="nil"/>
        </w:pBdr>
        <w:spacing w:after="0" w:line="240" w:lineRule="auto"/>
        <w:ind w:firstLine="284"/>
        <w:jc w:val="both"/>
        <w:rPr>
          <w:rFonts w:ascii="Times New Roman" w:eastAsia="Times New Roman" w:hAnsi="Times New Roman" w:cs="Times New Roman"/>
          <w:color w:val="222222"/>
          <w:sz w:val="24"/>
          <w:szCs w:val="24"/>
          <w:highlight w:val="white"/>
        </w:rPr>
      </w:pPr>
    </w:p>
    <w:p w14:paraId="4D337CE0" w14:textId="77777777" w:rsidR="0051692D" w:rsidRDefault="0051692D" w:rsidP="0051692D">
      <w:pPr>
        <w:pBdr>
          <w:top w:val="nil"/>
          <w:left w:val="nil"/>
          <w:bottom w:val="nil"/>
          <w:right w:val="nil"/>
          <w:between w:val="nil"/>
        </w:pBdr>
        <w:spacing w:after="0" w:line="240" w:lineRule="auto"/>
        <w:ind w:firstLine="284"/>
        <w:jc w:val="both"/>
        <w:rPr>
          <w:rFonts w:ascii="Times New Roman" w:eastAsia="Times New Roman" w:hAnsi="Times New Roman" w:cs="Times New Roman"/>
          <w:color w:val="222222"/>
          <w:sz w:val="24"/>
          <w:szCs w:val="24"/>
          <w:highlight w:val="white"/>
        </w:rPr>
      </w:pPr>
    </w:p>
    <w:p w14:paraId="143B0466" w14:textId="59C3035D" w:rsidR="0051692D" w:rsidRDefault="0051692D" w:rsidP="0051692D">
      <w:pPr>
        <w:pBdr>
          <w:top w:val="nil"/>
          <w:left w:val="nil"/>
          <w:bottom w:val="nil"/>
          <w:right w:val="nil"/>
          <w:between w:val="nil"/>
        </w:pBdr>
        <w:spacing w:after="0" w:line="240" w:lineRule="auto"/>
        <w:ind w:firstLine="28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Mgr. Iveta Karpíšková</w:t>
      </w:r>
    </w:p>
    <w:p w14:paraId="76C0CB54" w14:textId="1648C017" w:rsidR="002E7A35" w:rsidRPr="0051692D" w:rsidRDefault="0051692D" w:rsidP="0051692D">
      <w:pPr>
        <w:pBdr>
          <w:top w:val="nil"/>
          <w:left w:val="nil"/>
          <w:bottom w:val="nil"/>
          <w:right w:val="nil"/>
          <w:between w:val="nil"/>
        </w:pBdr>
        <w:spacing w:after="0" w:line="240" w:lineRule="auto"/>
        <w:ind w:firstLine="28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ředitelka ZŠ a MŠ Domoušice</w:t>
      </w:r>
      <w:bookmarkStart w:id="1" w:name="_heading=h.gjdgxs" w:colFirst="0" w:colLast="0"/>
      <w:bookmarkEnd w:id="1"/>
    </w:p>
    <w:sectPr w:rsidR="002E7A35" w:rsidRPr="0051692D" w:rsidSect="00B300CD">
      <w:type w:val="continuous"/>
      <w:pgSz w:w="11909" w:h="16848"/>
      <w:pgMar w:top="500" w:right="500" w:bottom="500"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77F2"/>
    <w:multiLevelType w:val="multilevel"/>
    <w:tmpl w:val="8DB25B66"/>
    <w:lvl w:ilvl="0">
      <w:start w:val="3"/>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473C4F"/>
    <w:multiLevelType w:val="multilevel"/>
    <w:tmpl w:val="C576DF26"/>
    <w:lvl w:ilvl="0">
      <w:start w:val="5"/>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AB761FB"/>
    <w:multiLevelType w:val="multilevel"/>
    <w:tmpl w:val="520A9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38913644">
    <w:abstractNumId w:val="2"/>
  </w:num>
  <w:num w:numId="2" w16cid:durableId="2140415605">
    <w:abstractNumId w:val="0"/>
  </w:num>
  <w:num w:numId="3" w16cid:durableId="401759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EDC"/>
    <w:rsid w:val="0004297F"/>
    <w:rsid w:val="00097366"/>
    <w:rsid w:val="000B3BCA"/>
    <w:rsid w:val="000B614A"/>
    <w:rsid w:val="000D3521"/>
    <w:rsid w:val="000E4BF5"/>
    <w:rsid w:val="000F4E83"/>
    <w:rsid w:val="00116EDC"/>
    <w:rsid w:val="0017083E"/>
    <w:rsid w:val="001A7AF4"/>
    <w:rsid w:val="001C5224"/>
    <w:rsid w:val="001E15E6"/>
    <w:rsid w:val="001E6364"/>
    <w:rsid w:val="002113A2"/>
    <w:rsid w:val="00254F22"/>
    <w:rsid w:val="00272C5D"/>
    <w:rsid w:val="00284544"/>
    <w:rsid w:val="00294D17"/>
    <w:rsid w:val="002D5081"/>
    <w:rsid w:val="002E3D8C"/>
    <w:rsid w:val="002E7A35"/>
    <w:rsid w:val="002F03B2"/>
    <w:rsid w:val="003128C0"/>
    <w:rsid w:val="003415D7"/>
    <w:rsid w:val="00341C68"/>
    <w:rsid w:val="003F610A"/>
    <w:rsid w:val="00435EDD"/>
    <w:rsid w:val="004374FF"/>
    <w:rsid w:val="00446687"/>
    <w:rsid w:val="0047342C"/>
    <w:rsid w:val="004F002E"/>
    <w:rsid w:val="00513BD1"/>
    <w:rsid w:val="0051692D"/>
    <w:rsid w:val="005232A9"/>
    <w:rsid w:val="00526469"/>
    <w:rsid w:val="00543199"/>
    <w:rsid w:val="005A441B"/>
    <w:rsid w:val="005B0568"/>
    <w:rsid w:val="005D0AAB"/>
    <w:rsid w:val="006541DC"/>
    <w:rsid w:val="006812DB"/>
    <w:rsid w:val="006A0C2D"/>
    <w:rsid w:val="006A7EE7"/>
    <w:rsid w:val="006B2F6A"/>
    <w:rsid w:val="006C02FD"/>
    <w:rsid w:val="006C4237"/>
    <w:rsid w:val="007355D7"/>
    <w:rsid w:val="00792532"/>
    <w:rsid w:val="007B7488"/>
    <w:rsid w:val="007B7551"/>
    <w:rsid w:val="0085286E"/>
    <w:rsid w:val="00863329"/>
    <w:rsid w:val="00876ACD"/>
    <w:rsid w:val="008B4582"/>
    <w:rsid w:val="008C6DC5"/>
    <w:rsid w:val="008E0557"/>
    <w:rsid w:val="00961FA9"/>
    <w:rsid w:val="0097146B"/>
    <w:rsid w:val="00971D27"/>
    <w:rsid w:val="009739B9"/>
    <w:rsid w:val="00981E0F"/>
    <w:rsid w:val="009C7433"/>
    <w:rsid w:val="009F0F64"/>
    <w:rsid w:val="00A10ED4"/>
    <w:rsid w:val="00A122B7"/>
    <w:rsid w:val="00A13651"/>
    <w:rsid w:val="00A43A4B"/>
    <w:rsid w:val="00A81E45"/>
    <w:rsid w:val="00AE1E6D"/>
    <w:rsid w:val="00B300CD"/>
    <w:rsid w:val="00B41FA1"/>
    <w:rsid w:val="00BA31FF"/>
    <w:rsid w:val="00BC255C"/>
    <w:rsid w:val="00BC3642"/>
    <w:rsid w:val="00BD2D9C"/>
    <w:rsid w:val="00C0339C"/>
    <w:rsid w:val="00C25542"/>
    <w:rsid w:val="00C335EA"/>
    <w:rsid w:val="00C36DF2"/>
    <w:rsid w:val="00C80B2E"/>
    <w:rsid w:val="00C83D7A"/>
    <w:rsid w:val="00CB0146"/>
    <w:rsid w:val="00CD15BA"/>
    <w:rsid w:val="00D066EB"/>
    <w:rsid w:val="00D06D3D"/>
    <w:rsid w:val="00D11E68"/>
    <w:rsid w:val="00D139D9"/>
    <w:rsid w:val="00D93A9E"/>
    <w:rsid w:val="00DB718F"/>
    <w:rsid w:val="00DE2CA0"/>
    <w:rsid w:val="00E212A1"/>
    <w:rsid w:val="00E55F5D"/>
    <w:rsid w:val="00E7345C"/>
    <w:rsid w:val="00E77CD5"/>
    <w:rsid w:val="00ED52DD"/>
    <w:rsid w:val="00F20219"/>
    <w:rsid w:val="00F44D9D"/>
    <w:rsid w:val="00F50FC9"/>
    <w:rsid w:val="00F6633C"/>
    <w:rsid w:val="00F8574B"/>
    <w:rsid w:val="00FC7313"/>
    <w:rsid w:val="00FD1B3E"/>
    <w:rsid w:val="00FE0137"/>
    <w:rsid w:val="00FF02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1454"/>
  <w15:docId w15:val="{37D20AC4-5399-4DD2-82C7-0352E75E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0ED4"/>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16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312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1E63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E6364"/>
    <w:rPr>
      <w:rFonts w:asciiTheme="majorHAnsi" w:eastAsiaTheme="majorEastAsia" w:hAnsiTheme="majorHAnsi" w:cstheme="majorBidi"/>
      <w:spacing w:val="-10"/>
      <w:kern w:val="28"/>
      <w:sz w:val="56"/>
      <w:szCs w:val="56"/>
    </w:rPr>
  </w:style>
  <w:style w:type="paragraph" w:customStyle="1" w:styleId="DefinitionTerm">
    <w:name w:val="Definition Term"/>
    <w:basedOn w:val="Normln"/>
    <w:next w:val="Normln"/>
    <w:rsid w:val="0051692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1030</Words>
  <Characters>6077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Eva Mužíková</cp:lastModifiedBy>
  <cp:revision>25</cp:revision>
  <cp:lastPrinted>2026-01-06T07:58:00Z</cp:lastPrinted>
  <dcterms:created xsi:type="dcterms:W3CDTF">2025-09-05T04:51:00Z</dcterms:created>
  <dcterms:modified xsi:type="dcterms:W3CDTF">2026-04-10T09:50:00Z</dcterms:modified>
</cp:coreProperties>
</file>